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A0047" w14:textId="77777777" w:rsidR="008C39FD" w:rsidRDefault="00000000">
      <w:pPr>
        <w:spacing w:after="20" w:line="240" w:lineRule="auto"/>
        <w:jc w:val="center"/>
        <w:rPr>
          <w:rFonts w:hint="eastAsia"/>
        </w:rPr>
      </w:pPr>
      <w:r>
        <w:rPr>
          <w:rFonts w:ascii="Liberation Sans" w:hAnsi="Liberation Sans" w:cs="Liberation Sans"/>
          <w:color w:val="2C4978"/>
          <w:sz w:val="38"/>
        </w:rPr>
        <w:t>Human Intelligence</w:t>
      </w:r>
    </w:p>
    <w:p w14:paraId="21D99E9A" w14:textId="77777777" w:rsidR="008C39FD" w:rsidRDefault="00000000">
      <w:pPr>
        <w:spacing w:after="40" w:line="240" w:lineRule="auto"/>
        <w:jc w:val="center"/>
        <w:rPr>
          <w:rFonts w:hint="eastAsia"/>
        </w:rPr>
      </w:pPr>
      <w:r>
        <w:rPr>
          <w:rFonts w:ascii="Liberation Sans" w:hAnsi="Liberation Sans" w:cs="Liberation Sans"/>
          <w:b/>
          <w:caps/>
          <w:color w:val="141414"/>
          <w:sz w:val="41"/>
        </w:rPr>
        <w:t>MONTHLY NEWSLETTER</w:t>
      </w:r>
    </w:p>
    <w:p w14:paraId="34A648B2" w14:textId="77777777" w:rsidR="008C39FD" w:rsidRDefault="00000000">
      <w:pPr>
        <w:spacing w:after="80" w:line="240" w:lineRule="auto"/>
        <w:jc w:val="center"/>
        <w:rPr>
          <w:rFonts w:hint="eastAsia"/>
        </w:rPr>
      </w:pPr>
      <w:r>
        <w:rPr>
          <w:rFonts w:ascii="Liberation Sans" w:hAnsi="Liberation Sans" w:cs="Liberation Sans"/>
          <w:color w:val="5A5A5A"/>
          <w:sz w:val="20"/>
        </w:rPr>
        <w:t>Volume 1 • Issue 3  April 2026</w:t>
      </w:r>
    </w:p>
    <w:p w14:paraId="6A3FAAD4" w14:textId="77777777" w:rsidR="008C39FD" w:rsidRDefault="00000000">
      <w:pPr>
        <w:pBdr>
          <w:bottom w:val="single" w:sz="8" w:space="1" w:color="B5C2D6"/>
        </w:pBdr>
        <w:spacing w:after="80" w:line="252" w:lineRule="auto"/>
        <w:jc w:val="center"/>
        <w:rPr>
          <w:rFonts w:hint="eastAsia"/>
        </w:rPr>
      </w:pPr>
      <w:r>
        <w:rPr>
          <w:rFonts w:cs="Liberation Serif"/>
          <w:b/>
          <w:color w:val="141414"/>
          <w:sz w:val="30"/>
        </w:rPr>
        <w:t>From Capability to Context: building HI when prediction is abundant</w:t>
      </w:r>
    </w:p>
    <w:tbl>
      <w:tblPr>
        <w:tblW w:w="0" w:type="auto"/>
        <w:jc w:val="center"/>
        <w:tblLook w:val="04A0" w:firstRow="1" w:lastRow="0" w:firstColumn="1" w:lastColumn="0" w:noHBand="0" w:noVBand="1"/>
      </w:tblPr>
      <w:tblGrid>
        <w:gridCol w:w="10262"/>
      </w:tblGrid>
      <w:tr w:rsidR="008C39FD" w14:paraId="7F927003" w14:textId="77777777">
        <w:trPr>
          <w:jc w:val="center"/>
        </w:trPr>
        <w:tc>
          <w:tcPr>
            <w:tcW w:w="10262" w:type="dxa"/>
            <w:shd w:val="clear" w:color="auto" w:fill="F4F6FA"/>
            <w:tcMar>
              <w:top w:w="85" w:type="dxa"/>
              <w:left w:w="120" w:type="dxa"/>
              <w:bottom w:w="85" w:type="dxa"/>
              <w:right w:w="120" w:type="dxa"/>
            </w:tcMar>
            <w:vAlign w:val="center"/>
          </w:tcPr>
          <w:p w14:paraId="278982E0" w14:textId="77777777" w:rsidR="008C39FD" w:rsidRDefault="00000000">
            <w:pPr>
              <w:spacing w:after="60" w:line="240" w:lineRule="auto"/>
              <w:rPr>
                <w:rFonts w:hint="eastAsia"/>
              </w:rPr>
            </w:pPr>
            <w:r>
              <w:rPr>
                <w:rFonts w:ascii="Liberation Sans" w:hAnsi="Liberation Sans" w:cs="Liberation Sans"/>
                <w:b/>
                <w:color w:val="2C4978"/>
                <w:sz w:val="22"/>
              </w:rPr>
              <w:t>Opening note</w:t>
            </w:r>
          </w:p>
          <w:p w14:paraId="616E8884" w14:textId="77777777" w:rsidR="008C39FD" w:rsidRDefault="00000000">
            <w:pPr>
              <w:spacing w:after="60" w:line="259" w:lineRule="auto"/>
              <w:jc w:val="both"/>
              <w:rPr>
                <w:rFonts w:hint="eastAsia"/>
              </w:rPr>
            </w:pPr>
            <w:r>
              <w:rPr>
                <w:rFonts w:cs="Liberation Serif"/>
                <w:color w:val="141414"/>
                <w:sz w:val="20"/>
              </w:rPr>
              <w:t>The first paper in this series explained why AI can feel psychologically threatening. The second showed how AI amplifies whatever trust, defensiveness, voice and silence already exist inside a system. This third paper moves to the capability question: what must humans now learn, practise and become?</w:t>
            </w:r>
          </w:p>
          <w:p w14:paraId="6878122F" w14:textId="56BBC826" w:rsidR="008C39FD" w:rsidRDefault="00000000">
            <w:pPr>
              <w:spacing w:after="60" w:line="259" w:lineRule="auto"/>
              <w:jc w:val="both"/>
              <w:rPr>
                <w:rFonts w:hint="eastAsia"/>
              </w:rPr>
            </w:pPr>
            <w:r>
              <w:rPr>
                <w:rFonts w:cs="Liberation Serif"/>
                <w:color w:val="141414"/>
                <w:sz w:val="20"/>
              </w:rPr>
              <w:t xml:space="preserve">The </w:t>
            </w:r>
            <w:r w:rsidR="00085C4A">
              <w:rPr>
                <w:rFonts w:cs="Liberation Serif"/>
                <w:color w:val="141414"/>
                <w:sz w:val="20"/>
              </w:rPr>
              <w:t>Reflection</w:t>
            </w:r>
            <w:r>
              <w:rPr>
                <w:rFonts w:cs="Liberation Serif"/>
                <w:color w:val="141414"/>
                <w:sz w:val="20"/>
              </w:rPr>
              <w:t xml:space="preserve"> for this month is simple. If prediction becomes abundant, transition becomes scarce. The strategic question is no longer only how people use AI, but whether they can move quickly, willingly, coherently and accountably into new spaces of work when the old scripts no longer fit. That is the domain of HI.</w:t>
            </w:r>
          </w:p>
          <w:p w14:paraId="615E73EF" w14:textId="77777777" w:rsidR="008C39FD" w:rsidRDefault="00000000">
            <w:pPr>
              <w:spacing w:after="60" w:line="259" w:lineRule="auto"/>
              <w:jc w:val="both"/>
              <w:rPr>
                <w:rFonts w:hint="eastAsia"/>
              </w:rPr>
            </w:pPr>
            <w:r>
              <w:rPr>
                <w:rFonts w:cs="Liberation Serif"/>
                <w:color w:val="141414"/>
                <w:sz w:val="20"/>
              </w:rPr>
              <w:t>This issue takes the core argument of Building HI Capability and turns it into a more practical invitation: treat context and circumstance as the place where HI parts company with AI, and start designing for judgement, transition and responsible experimentation rather than tool fluency alone.</w:t>
            </w:r>
          </w:p>
        </w:tc>
      </w:tr>
    </w:tbl>
    <w:p w14:paraId="2FE01B47" w14:textId="77777777" w:rsidR="008C39FD" w:rsidRDefault="008C39FD">
      <w:pPr>
        <w:rPr>
          <w:rFonts w:hint="eastAsia"/>
        </w:rPr>
        <w:sectPr w:rsidR="008C39FD">
          <w:footerReference w:type="default" r:id="rId8"/>
          <w:pgSz w:w="11906" w:h="16838"/>
          <w:pgMar w:top="794" w:right="822" w:bottom="794" w:left="822" w:header="454" w:footer="454" w:gutter="0"/>
          <w:cols w:space="720"/>
          <w:docGrid w:linePitch="360"/>
        </w:sectPr>
      </w:pPr>
    </w:p>
    <w:p w14:paraId="438333C2" w14:textId="77777777" w:rsidR="008C39FD" w:rsidRDefault="00000000">
      <w:pPr>
        <w:keepNext/>
        <w:spacing w:before="100" w:after="80" w:line="240" w:lineRule="auto"/>
        <w:rPr>
          <w:rFonts w:hint="eastAsia"/>
        </w:rPr>
      </w:pPr>
      <w:r>
        <w:rPr>
          <w:rFonts w:cs="Liberation Serif"/>
          <w:b/>
          <w:color w:val="141414"/>
          <w:sz w:val="26"/>
        </w:rPr>
        <w:t>Article 1 — When prediction becomes abundant, transition becomes scarce</w:t>
      </w:r>
    </w:p>
    <w:p w14:paraId="1B655F76" w14:textId="77777777" w:rsidR="008C39FD" w:rsidRDefault="00000000">
      <w:pPr>
        <w:spacing w:after="80" w:line="264" w:lineRule="auto"/>
        <w:rPr>
          <w:rFonts w:hint="eastAsia"/>
        </w:rPr>
      </w:pPr>
      <w:r>
        <w:rPr>
          <w:rFonts w:cs="Liberation Serif"/>
          <w:i/>
          <w:color w:val="5A5A5A"/>
          <w:sz w:val="22"/>
        </w:rPr>
        <w:t>The future is not simply a contest between human and machine performance. It is a relocation of value.</w:t>
      </w:r>
    </w:p>
    <w:p w14:paraId="1B0BFE5F" w14:textId="77777777" w:rsidR="008C39FD" w:rsidRDefault="00000000">
      <w:pPr>
        <w:spacing w:after="60" w:line="259" w:lineRule="auto"/>
        <w:jc w:val="both"/>
        <w:rPr>
          <w:rFonts w:hint="eastAsia"/>
        </w:rPr>
      </w:pPr>
      <w:r>
        <w:rPr>
          <w:rFonts w:cs="Liberation Serif"/>
          <w:color w:val="141414"/>
          <w:sz w:val="20"/>
        </w:rPr>
        <w:t xml:space="preserve">A team can now ask a system to draft the brief, summarise the meeting, classify the risk and propose the next step. What the system cannot finally decide is </w:t>
      </w:r>
      <w:r>
        <w:rPr>
          <w:rFonts w:cs="Liberation Serif"/>
          <w:b/>
          <w:color w:val="141414"/>
          <w:sz w:val="20"/>
        </w:rPr>
        <w:t>what this moment means</w:t>
      </w:r>
      <w:r>
        <w:rPr>
          <w:rFonts w:cs="Liberation Serif"/>
          <w:color w:val="141414"/>
          <w:sz w:val="20"/>
        </w:rPr>
        <w:t xml:space="preserve"> for these people, under these conditions, with these consequences. That is where HI becomes visible.</w:t>
      </w:r>
    </w:p>
    <w:p w14:paraId="362A4772" w14:textId="77777777" w:rsidR="008C39FD" w:rsidRDefault="00000000">
      <w:pPr>
        <w:spacing w:after="60" w:line="259" w:lineRule="auto"/>
        <w:jc w:val="both"/>
        <w:rPr>
          <w:rFonts w:hint="eastAsia"/>
        </w:rPr>
      </w:pPr>
      <w:r>
        <w:rPr>
          <w:rFonts w:cs="Liberation Serif"/>
          <w:color w:val="141414"/>
          <w:sz w:val="20"/>
        </w:rPr>
        <w:t xml:space="preserve">The new white paper argues that HI is not the leftover category of work that AI has not yet reached. It is a </w:t>
      </w:r>
      <w:r>
        <w:rPr>
          <w:rFonts w:cs="Liberation Serif"/>
          <w:b/>
          <w:color w:val="141414"/>
          <w:sz w:val="20"/>
        </w:rPr>
        <w:t>trainable transition capability</w:t>
      </w:r>
      <w:r>
        <w:rPr>
          <w:rFonts w:cs="Liberation Serif"/>
          <w:color w:val="141414"/>
          <w:sz w:val="20"/>
        </w:rPr>
        <w:t>: the human capacity to move into new spaces of work quickly, willingly, coherently and accountably when old scripts no longer fit.</w:t>
      </w:r>
    </w:p>
    <w:p w14:paraId="0F03BE74" w14:textId="77777777" w:rsidR="008C39FD" w:rsidRDefault="00000000">
      <w:pPr>
        <w:spacing w:after="60" w:line="259" w:lineRule="auto"/>
        <w:jc w:val="both"/>
        <w:rPr>
          <w:rFonts w:hint="eastAsia"/>
        </w:rPr>
      </w:pPr>
      <w:r>
        <w:rPr>
          <w:rFonts w:cs="Liberation Serif"/>
          <w:color w:val="141414"/>
          <w:sz w:val="20"/>
        </w:rPr>
        <w:t>That is why capability matters now. Many organisations are still treating AI adoption as a tooling question, when the deeper challenge is role transition, judgement and learning architecture. Prediction is getting cheaper. Human movement into the unpredictable domain is not.</w:t>
      </w:r>
    </w:p>
    <w:p w14:paraId="1DAE1A0C" w14:textId="77777777" w:rsidR="008C39FD" w:rsidRDefault="00000000">
      <w:pPr>
        <w:spacing w:before="80" w:after="40" w:line="240" w:lineRule="auto"/>
        <w:rPr>
          <w:rFonts w:hint="eastAsia"/>
        </w:rPr>
      </w:pPr>
      <w:r>
        <w:rPr>
          <w:rFonts w:cs="Liberation Serif"/>
          <w:b/>
          <w:color w:val="2C4978"/>
        </w:rPr>
        <w:t>Reflective questions</w:t>
      </w:r>
    </w:p>
    <w:p w14:paraId="3B29F0C9" w14:textId="77777777" w:rsidR="008C39FD" w:rsidRDefault="00000000">
      <w:pPr>
        <w:pStyle w:val="ListBullet"/>
        <w:spacing w:after="20" w:line="247" w:lineRule="auto"/>
        <w:rPr>
          <w:rFonts w:hint="eastAsia"/>
        </w:rPr>
      </w:pPr>
      <w:r>
        <w:rPr>
          <w:rFonts w:cs="Liberation Serif"/>
          <w:color w:val="141414"/>
          <w:sz w:val="20"/>
        </w:rPr>
        <w:t>If prediction is no longer our scarce advantage, what form of human contribution becomes more valuable in our setting?</w:t>
      </w:r>
    </w:p>
    <w:p w14:paraId="53073239" w14:textId="77777777" w:rsidR="008C39FD" w:rsidRDefault="00000000">
      <w:pPr>
        <w:pStyle w:val="ListBullet"/>
        <w:spacing w:after="20" w:line="247" w:lineRule="auto"/>
        <w:rPr>
          <w:rFonts w:hint="eastAsia"/>
        </w:rPr>
      </w:pPr>
      <w:r>
        <w:rPr>
          <w:rFonts w:cs="Liberation Serif"/>
          <w:color w:val="141414"/>
          <w:sz w:val="20"/>
        </w:rPr>
        <w:t>Where are we still rewarding throughput and certainty while saying we want judgement and adaptation?</w:t>
      </w:r>
    </w:p>
    <w:p w14:paraId="561EA16D" w14:textId="77777777" w:rsidR="008C39FD" w:rsidRDefault="00000000">
      <w:pPr>
        <w:pStyle w:val="ListBullet"/>
        <w:spacing w:after="20" w:line="247" w:lineRule="auto"/>
        <w:rPr>
          <w:rFonts w:hint="eastAsia"/>
        </w:rPr>
      </w:pPr>
      <w:r>
        <w:rPr>
          <w:rFonts w:cs="Liberation Serif"/>
          <w:color w:val="141414"/>
          <w:sz w:val="20"/>
        </w:rPr>
        <w:t>What would change if we treated capability as transition, not just training volume?</w:t>
      </w:r>
    </w:p>
    <w:p w14:paraId="7023C1F0" w14:textId="77777777" w:rsidR="008C39FD" w:rsidRDefault="00000000">
      <w:pPr>
        <w:keepNext/>
        <w:spacing w:before="100" w:after="80" w:line="240" w:lineRule="auto"/>
        <w:rPr>
          <w:rFonts w:hint="eastAsia"/>
        </w:rPr>
      </w:pPr>
      <w:r>
        <w:rPr>
          <w:rFonts w:cs="Liberation Serif"/>
          <w:b/>
          <w:color w:val="141414"/>
          <w:sz w:val="26"/>
        </w:rPr>
        <w:t>Article 2 — Context and circumstance: where HI parts company with AI</w:t>
      </w:r>
    </w:p>
    <w:p w14:paraId="26D4113F" w14:textId="77777777" w:rsidR="008C39FD" w:rsidRDefault="00000000">
      <w:pPr>
        <w:spacing w:after="80" w:line="264" w:lineRule="auto"/>
        <w:rPr>
          <w:rFonts w:hint="eastAsia"/>
        </w:rPr>
      </w:pPr>
      <w:r>
        <w:rPr>
          <w:rFonts w:cs="Liberation Serif"/>
          <w:i/>
          <w:color w:val="5A5A5A"/>
          <w:sz w:val="22"/>
        </w:rPr>
        <w:t>AI is strongest when patterns are stable enough to be learned and repeated. HI becomes decisive when meaning shifts with the situation.</w:t>
      </w:r>
    </w:p>
    <w:p w14:paraId="30A65782" w14:textId="77777777" w:rsidR="008C39FD" w:rsidRDefault="00000000">
      <w:pPr>
        <w:spacing w:after="60" w:line="259" w:lineRule="auto"/>
        <w:jc w:val="both"/>
        <w:rPr>
          <w:rFonts w:hint="eastAsia"/>
        </w:rPr>
      </w:pPr>
      <w:r>
        <w:rPr>
          <w:rFonts w:cs="Liberation Serif"/>
          <w:color w:val="141414"/>
          <w:sz w:val="20"/>
        </w:rPr>
        <w:t xml:space="preserve">One of the clearest insights in the paper is that the difference between AI and HI is not magic; it is </w:t>
      </w:r>
      <w:r>
        <w:rPr>
          <w:rFonts w:cs="Liberation Serif"/>
          <w:b/>
          <w:color w:val="141414"/>
          <w:sz w:val="20"/>
        </w:rPr>
        <w:t>context and circumstance</w:t>
      </w:r>
      <w:r>
        <w:rPr>
          <w:rFonts w:cs="Liberation Serif"/>
          <w:color w:val="141414"/>
          <w:sz w:val="20"/>
        </w:rPr>
        <w:t>. Context asks who is here, what histories and relationships shape the decision, and what norms govern the setting. Circumstance asks what is happening right now, under what pressure, uncertainty or consequence.</w:t>
      </w:r>
    </w:p>
    <w:p w14:paraId="7877E3D9" w14:textId="77777777" w:rsidR="008C39FD" w:rsidRDefault="00000000">
      <w:pPr>
        <w:spacing w:after="60" w:line="259" w:lineRule="auto"/>
        <w:jc w:val="both"/>
        <w:rPr>
          <w:rFonts w:hint="eastAsia"/>
        </w:rPr>
      </w:pPr>
      <w:r>
        <w:rPr>
          <w:rFonts w:cs="Liberation Serif"/>
          <w:color w:val="141414"/>
          <w:sz w:val="20"/>
        </w:rPr>
        <w:t>A useful metaphor is this: AI can be the instrument panel. HI is the pilot deciding whether this aircraft should land in this weather, on this runway, with this crew and these passengers. The same readout does not always justify the same action.</w:t>
      </w:r>
    </w:p>
    <w:p w14:paraId="2A6D02EE" w14:textId="77777777" w:rsidR="008C39FD" w:rsidRDefault="00000000">
      <w:pPr>
        <w:spacing w:after="60" w:line="259" w:lineRule="auto"/>
        <w:jc w:val="both"/>
        <w:rPr>
          <w:rFonts w:hint="eastAsia"/>
        </w:rPr>
      </w:pPr>
      <w:r>
        <w:rPr>
          <w:rFonts w:cs="Liberation Serif"/>
          <w:color w:val="141414"/>
          <w:sz w:val="20"/>
        </w:rPr>
        <w:t>That is why the case studies matter. Morgan Stanley and Estonia show the value of keeping human authorship, explanation and relationship in the loop. The UK grading algorithm and Robodebt show what happens when systems flatten lived context into averages, proxies or automated certainty.</w:t>
      </w:r>
    </w:p>
    <w:p w14:paraId="33162B1F" w14:textId="77777777" w:rsidR="008C39FD" w:rsidRDefault="00000000">
      <w:pPr>
        <w:spacing w:before="80" w:after="40" w:line="240" w:lineRule="auto"/>
        <w:rPr>
          <w:rFonts w:hint="eastAsia"/>
        </w:rPr>
      </w:pPr>
      <w:r>
        <w:rPr>
          <w:rFonts w:cs="Liberation Serif"/>
          <w:b/>
          <w:color w:val="2C4978"/>
        </w:rPr>
        <w:t>Reflective questions</w:t>
      </w:r>
    </w:p>
    <w:p w14:paraId="748102C0" w14:textId="77777777" w:rsidR="008C39FD" w:rsidRDefault="00000000">
      <w:pPr>
        <w:pStyle w:val="ListBullet"/>
        <w:spacing w:after="20" w:line="247" w:lineRule="auto"/>
        <w:rPr>
          <w:rFonts w:hint="eastAsia"/>
        </w:rPr>
      </w:pPr>
      <w:r>
        <w:rPr>
          <w:rFonts w:cs="Liberation Serif"/>
          <w:color w:val="141414"/>
          <w:sz w:val="20"/>
        </w:rPr>
        <w:t>Which decisions in our setting can legitimately be AI-supported, and which must remain explicitly human-authored?</w:t>
      </w:r>
    </w:p>
    <w:p w14:paraId="14536C53" w14:textId="77777777" w:rsidR="008C39FD" w:rsidRDefault="00000000">
      <w:pPr>
        <w:pStyle w:val="ListBullet"/>
        <w:spacing w:after="20" w:line="247" w:lineRule="auto"/>
        <w:rPr>
          <w:rFonts w:hint="eastAsia"/>
        </w:rPr>
      </w:pPr>
      <w:r>
        <w:rPr>
          <w:rFonts w:cs="Liberation Serif"/>
          <w:color w:val="141414"/>
          <w:sz w:val="20"/>
        </w:rPr>
        <w:t>Where is local reality being flattened by averages, templates or proxy measures?</w:t>
      </w:r>
    </w:p>
    <w:p w14:paraId="5F6F6745" w14:textId="77777777" w:rsidR="008C39FD" w:rsidRDefault="00000000">
      <w:pPr>
        <w:pStyle w:val="ListBullet"/>
        <w:spacing w:after="20" w:line="247" w:lineRule="auto"/>
        <w:rPr>
          <w:rFonts w:hint="eastAsia"/>
        </w:rPr>
      </w:pPr>
      <w:r>
        <w:rPr>
          <w:rFonts w:cs="Liberation Serif"/>
          <w:color w:val="141414"/>
          <w:sz w:val="20"/>
        </w:rPr>
        <w:t>What forms of explanation, contestability and care must remain visible because they create legitimacy, not just throughput?</w:t>
      </w:r>
    </w:p>
    <w:p w14:paraId="4FD9A7F8" w14:textId="77777777" w:rsidR="008C39FD" w:rsidRDefault="00000000">
      <w:pPr>
        <w:keepNext/>
        <w:spacing w:before="100" w:after="80" w:line="240" w:lineRule="auto"/>
        <w:rPr>
          <w:rFonts w:hint="eastAsia"/>
        </w:rPr>
      </w:pPr>
      <w:r>
        <w:rPr>
          <w:rFonts w:cs="Liberation Serif"/>
          <w:b/>
          <w:color w:val="141414"/>
          <w:sz w:val="26"/>
        </w:rPr>
        <w:t>Article 3 — AI-ready is not the same as HI-ready</w:t>
      </w:r>
    </w:p>
    <w:p w14:paraId="6C0DB021" w14:textId="77777777" w:rsidR="008C39FD" w:rsidRDefault="00000000">
      <w:pPr>
        <w:spacing w:after="80" w:line="264" w:lineRule="auto"/>
        <w:rPr>
          <w:rFonts w:hint="eastAsia"/>
        </w:rPr>
      </w:pPr>
      <w:r>
        <w:rPr>
          <w:rFonts w:cs="Liberation Serif"/>
          <w:i/>
          <w:color w:val="5A5A5A"/>
          <w:sz w:val="22"/>
        </w:rPr>
        <w:t>A workforce can be trained to use AI and still be underprepared for redesigned work, ambiguity and accountable judgement.</w:t>
      </w:r>
    </w:p>
    <w:p w14:paraId="642AD66D" w14:textId="77777777" w:rsidR="008C39FD" w:rsidRDefault="00000000">
      <w:pPr>
        <w:spacing w:after="60" w:line="259" w:lineRule="auto"/>
        <w:jc w:val="both"/>
        <w:rPr>
          <w:rFonts w:hint="eastAsia"/>
        </w:rPr>
      </w:pPr>
      <w:r>
        <w:rPr>
          <w:rFonts w:cs="Liberation Serif"/>
          <w:color w:val="141414"/>
          <w:sz w:val="20"/>
        </w:rPr>
        <w:t>This is one of the hardest truths in the paper. Prompt workshops, policy rollouts and access to tools can all improve visible readiness, yet leave the deeper work untouched. A person can become more fluent with AI while the surrounding role, incentive system and decision architecture remain built for yesterday’s certainty.</w:t>
      </w:r>
    </w:p>
    <w:p w14:paraId="5A70F7C7" w14:textId="77777777" w:rsidR="008C39FD" w:rsidRDefault="00000000">
      <w:pPr>
        <w:spacing w:after="60" w:line="259" w:lineRule="auto"/>
        <w:jc w:val="both"/>
        <w:rPr>
          <w:rFonts w:hint="eastAsia"/>
        </w:rPr>
      </w:pPr>
      <w:r>
        <w:rPr>
          <w:rFonts w:cs="Liberation Serif"/>
          <w:color w:val="141414"/>
          <w:sz w:val="20"/>
        </w:rPr>
        <w:t>The distinction matters because AI does not only add a new tool. It redistributes where uncertainty, explanation, accountability and exception handling sit. As AI takes more of the map-reading, humans spend more time in the weather.</w:t>
      </w:r>
    </w:p>
    <w:p w14:paraId="3ADE6183" w14:textId="77777777" w:rsidR="008C39FD" w:rsidRDefault="00000000">
      <w:pPr>
        <w:spacing w:after="60" w:line="259" w:lineRule="auto"/>
        <w:jc w:val="both"/>
        <w:rPr>
          <w:rFonts w:hint="eastAsia"/>
        </w:rPr>
      </w:pPr>
      <w:r>
        <w:rPr>
          <w:rFonts w:cs="Liberation Serif"/>
          <w:color w:val="141414"/>
          <w:sz w:val="20"/>
        </w:rPr>
        <w:t xml:space="preserve">That is why HI readiness asks a different question: are we merely showing people how to use AI, or are we developing them to inhabit </w:t>
      </w:r>
      <w:r>
        <w:rPr>
          <w:rFonts w:cs="Liberation Serif"/>
          <w:b/>
          <w:color w:val="141414"/>
          <w:sz w:val="20"/>
        </w:rPr>
        <w:t>new ways of working</w:t>
      </w:r>
      <w:r>
        <w:rPr>
          <w:rFonts w:cs="Liberation Serif"/>
          <w:color w:val="141414"/>
          <w:sz w:val="20"/>
        </w:rPr>
        <w:t xml:space="preserve"> where discretion, </w:t>
      </w:r>
      <w:r>
        <w:rPr>
          <w:rFonts w:cs="Liberation Serif"/>
          <w:color w:val="141414"/>
          <w:sz w:val="20"/>
        </w:rPr>
        <w:lastRenderedPageBreak/>
        <w:t>sensemaking, ethical judgement and role transition become central?</w:t>
      </w:r>
    </w:p>
    <w:p w14:paraId="004FBEBA" w14:textId="77777777" w:rsidR="008C39FD" w:rsidRDefault="00000000">
      <w:pPr>
        <w:spacing w:before="80" w:after="40" w:line="240" w:lineRule="auto"/>
        <w:rPr>
          <w:rFonts w:hint="eastAsia"/>
        </w:rPr>
      </w:pPr>
      <w:r>
        <w:rPr>
          <w:rFonts w:cs="Liberation Serif"/>
          <w:b/>
          <w:color w:val="2C4978"/>
        </w:rPr>
        <w:t>Reflective questions</w:t>
      </w:r>
    </w:p>
    <w:p w14:paraId="0E549AC6" w14:textId="77777777" w:rsidR="008C39FD" w:rsidRDefault="00000000">
      <w:pPr>
        <w:pStyle w:val="ListBullet"/>
        <w:spacing w:after="20" w:line="247" w:lineRule="auto"/>
        <w:rPr>
          <w:rFonts w:hint="eastAsia"/>
        </w:rPr>
      </w:pPr>
      <w:r>
        <w:rPr>
          <w:rFonts w:cs="Liberation Serif"/>
          <w:color w:val="141414"/>
          <w:sz w:val="20"/>
        </w:rPr>
        <w:t>Are we building competent users inside unchanged workflows, or redesigning work so judgement can be exercised well?</w:t>
      </w:r>
    </w:p>
    <w:p w14:paraId="5EC2500E" w14:textId="77777777" w:rsidR="008C39FD" w:rsidRDefault="00000000">
      <w:pPr>
        <w:pStyle w:val="ListBullet"/>
        <w:spacing w:after="20" w:line="247" w:lineRule="auto"/>
        <w:rPr>
          <w:rFonts w:hint="eastAsia"/>
        </w:rPr>
      </w:pPr>
      <w:r>
        <w:rPr>
          <w:rFonts w:cs="Liberation Serif"/>
          <w:color w:val="141414"/>
          <w:sz w:val="20"/>
        </w:rPr>
        <w:t>What identity threats are being triggered by the move from predictable expertise to transition capability?</w:t>
      </w:r>
    </w:p>
    <w:p w14:paraId="5F862526" w14:textId="77777777" w:rsidR="008C39FD" w:rsidRPr="00835EE7" w:rsidRDefault="00000000">
      <w:pPr>
        <w:pStyle w:val="ListBullet"/>
        <w:spacing w:after="20" w:line="247" w:lineRule="auto"/>
        <w:rPr>
          <w:rFonts w:hint="eastAsia"/>
          <w:color w:val="000000" w:themeColor="text1"/>
        </w:rPr>
      </w:pPr>
      <w:r>
        <w:rPr>
          <w:rFonts w:cs="Liberation Serif"/>
          <w:color w:val="141414"/>
          <w:sz w:val="20"/>
        </w:rPr>
        <w:t xml:space="preserve">If we invested even a small percentage of AI spend into HI architecture, what would we actually fund: more </w:t>
      </w:r>
      <w:r w:rsidRPr="00835EE7">
        <w:rPr>
          <w:rFonts w:cs="Liberation Serif"/>
          <w:color w:val="000000" w:themeColor="text1"/>
          <w:sz w:val="20"/>
        </w:rPr>
        <w:t>tools, or redesigned roles, learning loops and transition support?</w:t>
      </w:r>
    </w:p>
    <w:p w14:paraId="384BFCB8" w14:textId="77777777" w:rsidR="008C39FD" w:rsidRPr="00835EE7" w:rsidRDefault="00000000">
      <w:pPr>
        <w:spacing w:before="100" w:after="40" w:line="240" w:lineRule="auto"/>
        <w:rPr>
          <w:rFonts w:hint="eastAsia"/>
          <w:color w:val="000000" w:themeColor="text1"/>
        </w:rPr>
      </w:pPr>
      <w:r w:rsidRPr="00835EE7">
        <w:rPr>
          <w:rFonts w:ascii="Liberation Sans" w:hAnsi="Liberation Sans" w:cs="Liberation Sans"/>
          <w:b/>
          <w:color w:val="000000" w:themeColor="text1"/>
        </w:rPr>
        <w:t>A practical distinction</w:t>
      </w:r>
    </w:p>
    <w:p w14:paraId="562AF77C" w14:textId="77777777" w:rsidR="008C39FD" w:rsidRPr="00835EE7" w:rsidRDefault="00000000">
      <w:pPr>
        <w:spacing w:after="20" w:line="245" w:lineRule="auto"/>
        <w:ind w:left="173"/>
        <w:rPr>
          <w:rFonts w:hint="eastAsia"/>
          <w:color w:val="000000" w:themeColor="text1"/>
        </w:rPr>
      </w:pPr>
      <w:r w:rsidRPr="00835EE7">
        <w:rPr>
          <w:rFonts w:cs="Liberation Serif"/>
          <w:b/>
          <w:color w:val="000000" w:themeColor="text1"/>
          <w:sz w:val="20"/>
        </w:rPr>
        <w:t xml:space="preserve">AI readiness: </w:t>
      </w:r>
      <w:r w:rsidRPr="00835EE7">
        <w:rPr>
          <w:rFonts w:cs="Liberation Serif"/>
          <w:color w:val="000000" w:themeColor="text1"/>
          <w:sz w:val="20"/>
        </w:rPr>
        <w:t>tool access, policy compliance and prompt fluency.</w:t>
      </w:r>
    </w:p>
    <w:p w14:paraId="49652551" w14:textId="77777777" w:rsidR="008C39FD" w:rsidRPr="00835EE7" w:rsidRDefault="00000000">
      <w:pPr>
        <w:spacing w:after="20" w:line="245" w:lineRule="auto"/>
        <w:ind w:left="173"/>
        <w:rPr>
          <w:rFonts w:hint="eastAsia"/>
          <w:color w:val="000000" w:themeColor="text1"/>
        </w:rPr>
      </w:pPr>
      <w:r w:rsidRPr="00835EE7">
        <w:rPr>
          <w:rFonts w:cs="Liberation Serif"/>
          <w:b/>
          <w:color w:val="000000" w:themeColor="text1"/>
          <w:sz w:val="20"/>
        </w:rPr>
        <w:t xml:space="preserve">HI readiness: </w:t>
      </w:r>
      <w:r w:rsidRPr="00835EE7">
        <w:rPr>
          <w:rFonts w:cs="Liberation Serif"/>
          <w:color w:val="000000" w:themeColor="text1"/>
          <w:sz w:val="20"/>
        </w:rPr>
        <w:t>role redesign, judgement practice and transition support.</w:t>
      </w:r>
    </w:p>
    <w:p w14:paraId="48556306" w14:textId="77777777" w:rsidR="008C39FD" w:rsidRPr="00835EE7" w:rsidRDefault="00000000">
      <w:pPr>
        <w:keepNext/>
        <w:spacing w:before="100" w:after="80" w:line="240" w:lineRule="auto"/>
        <w:rPr>
          <w:rFonts w:hint="eastAsia"/>
          <w:color w:val="000000" w:themeColor="text1"/>
        </w:rPr>
      </w:pPr>
      <w:r w:rsidRPr="00835EE7">
        <w:rPr>
          <w:rFonts w:cs="Liberation Serif"/>
          <w:b/>
          <w:color w:val="000000" w:themeColor="text1"/>
          <w:sz w:val="26"/>
        </w:rPr>
        <w:t>Article 4 — Building HI in the system: from Nordic lessons to a 90-day start</w:t>
      </w:r>
    </w:p>
    <w:p w14:paraId="0EC4CBC7" w14:textId="77777777" w:rsidR="008C39FD" w:rsidRPr="00835EE7" w:rsidRDefault="00000000">
      <w:pPr>
        <w:spacing w:after="80" w:line="264" w:lineRule="auto"/>
        <w:rPr>
          <w:rFonts w:hint="eastAsia"/>
          <w:color w:val="000000" w:themeColor="text1"/>
        </w:rPr>
      </w:pPr>
      <w:r w:rsidRPr="00835EE7">
        <w:rPr>
          <w:rFonts w:cs="Liberation Serif"/>
          <w:i/>
          <w:color w:val="000000" w:themeColor="text1"/>
          <w:sz w:val="22"/>
        </w:rPr>
        <w:t>HI does not grow through motivation alone. It needs social architecture, learning architecture and protected practice.</w:t>
      </w:r>
    </w:p>
    <w:p w14:paraId="2ECA48AB" w14:textId="77777777" w:rsidR="008C39FD" w:rsidRPr="00835EE7" w:rsidRDefault="00000000">
      <w:pPr>
        <w:spacing w:after="60" w:line="259" w:lineRule="auto"/>
        <w:jc w:val="both"/>
        <w:rPr>
          <w:rFonts w:hint="eastAsia"/>
          <w:color w:val="000000" w:themeColor="text1"/>
        </w:rPr>
      </w:pPr>
      <w:r w:rsidRPr="00835EE7">
        <w:rPr>
          <w:rFonts w:cs="Liberation Serif"/>
          <w:color w:val="000000" w:themeColor="text1"/>
          <w:sz w:val="20"/>
        </w:rPr>
        <w:t xml:space="preserve">One reason the Scandinavian thread matters so much in the white paper is that it treats transition as a </w:t>
      </w:r>
      <w:r w:rsidRPr="00835EE7">
        <w:rPr>
          <w:rFonts w:cs="Liberation Serif"/>
          <w:b/>
          <w:color w:val="000000" w:themeColor="text1"/>
          <w:sz w:val="20"/>
        </w:rPr>
        <w:t>system capability</w:t>
      </w:r>
      <w:r w:rsidRPr="00835EE7">
        <w:rPr>
          <w:rFonts w:cs="Liberation Serif"/>
          <w:color w:val="000000" w:themeColor="text1"/>
          <w:sz w:val="20"/>
        </w:rPr>
        <w:t xml:space="preserve"> rather than a private burden. Finland’s school model builds inquiry, multiliteracy, experimentation and boundary crossing early. Denmark’s workforce model pairs mobility with security, guidance and legitimacy.</w:t>
      </w:r>
    </w:p>
    <w:p w14:paraId="21528484" w14:textId="77777777" w:rsidR="008C39FD" w:rsidRPr="00835EE7" w:rsidRDefault="00000000">
      <w:pPr>
        <w:spacing w:after="60" w:line="259" w:lineRule="auto"/>
        <w:jc w:val="both"/>
        <w:rPr>
          <w:rFonts w:hint="eastAsia"/>
          <w:color w:val="000000" w:themeColor="text1"/>
        </w:rPr>
      </w:pPr>
      <w:r w:rsidRPr="00835EE7">
        <w:rPr>
          <w:rFonts w:cs="Liberation Serif"/>
          <w:color w:val="000000" w:themeColor="text1"/>
          <w:sz w:val="20"/>
        </w:rPr>
        <w:t>The lesson is not that every country can copy the Nordics line by line. The lesson is architectural. Flexibility without security produces fear. Tool adoption without adult learning produces shallow fluency. Autonomy without trust collapses into compliance.</w:t>
      </w:r>
    </w:p>
    <w:p w14:paraId="75B27EDC" w14:textId="77777777" w:rsidR="008C39FD" w:rsidRPr="00835EE7" w:rsidRDefault="00000000">
      <w:pPr>
        <w:spacing w:after="60" w:line="259" w:lineRule="auto"/>
        <w:jc w:val="both"/>
        <w:rPr>
          <w:rFonts w:hint="eastAsia"/>
          <w:color w:val="000000" w:themeColor="text1"/>
        </w:rPr>
      </w:pPr>
      <w:r w:rsidRPr="00835EE7">
        <w:rPr>
          <w:rFonts w:cs="Liberation Serif"/>
          <w:color w:val="000000" w:themeColor="text1"/>
          <w:sz w:val="20"/>
        </w:rPr>
        <w:t>For leaders, the starting point can be smaller and more practical than it sounds. Run the HI diagnostic. Read where context and circumstance change what good judgement looks like. Choose one 90-day experiment. Then build the learning loop so the experiment becomes system capability rather than an isolated success.</w:t>
      </w:r>
    </w:p>
    <w:p w14:paraId="5BB9C5FE" w14:textId="77777777" w:rsidR="008C39FD" w:rsidRPr="00835EE7" w:rsidRDefault="00000000">
      <w:pPr>
        <w:spacing w:before="80" w:after="40" w:line="240" w:lineRule="auto"/>
        <w:rPr>
          <w:rFonts w:hint="eastAsia"/>
          <w:color w:val="000000" w:themeColor="text1"/>
        </w:rPr>
      </w:pPr>
      <w:r w:rsidRPr="00835EE7">
        <w:rPr>
          <w:rFonts w:cs="Liberation Serif"/>
          <w:b/>
          <w:color w:val="000000" w:themeColor="text1"/>
        </w:rPr>
        <w:t>Reflective questions</w:t>
      </w:r>
    </w:p>
    <w:p w14:paraId="00ED75B9" w14:textId="77777777" w:rsidR="008C39FD" w:rsidRPr="00835EE7" w:rsidRDefault="00000000">
      <w:pPr>
        <w:pStyle w:val="ListBullet"/>
        <w:spacing w:after="20" w:line="247" w:lineRule="auto"/>
        <w:rPr>
          <w:rFonts w:hint="eastAsia"/>
          <w:color w:val="000000" w:themeColor="text1"/>
        </w:rPr>
      </w:pPr>
      <w:r w:rsidRPr="00835EE7">
        <w:rPr>
          <w:rFonts w:cs="Liberation Serif"/>
          <w:color w:val="000000" w:themeColor="text1"/>
          <w:sz w:val="20"/>
        </w:rPr>
        <w:t>Run a worldview audit: what currently counts as competence here, and what are people afraid of losing?</w:t>
      </w:r>
    </w:p>
    <w:p w14:paraId="30C9E285" w14:textId="77777777" w:rsidR="008C39FD" w:rsidRPr="00835EE7" w:rsidRDefault="00000000">
      <w:pPr>
        <w:pStyle w:val="ListBullet"/>
        <w:spacing w:after="20" w:line="247" w:lineRule="auto"/>
        <w:rPr>
          <w:rFonts w:hint="eastAsia"/>
          <w:color w:val="000000" w:themeColor="text1"/>
        </w:rPr>
      </w:pPr>
      <w:r w:rsidRPr="00835EE7">
        <w:rPr>
          <w:rFonts w:cs="Liberation Serif"/>
          <w:color w:val="000000" w:themeColor="text1"/>
          <w:sz w:val="20"/>
        </w:rPr>
        <w:t>Review the edge cases: where did the script fail, what did the human notice, and what should the system learn?</w:t>
      </w:r>
    </w:p>
    <w:p w14:paraId="4C03D784" w14:textId="77777777" w:rsidR="008C39FD" w:rsidRPr="00835EE7" w:rsidRDefault="00000000">
      <w:pPr>
        <w:pStyle w:val="ListBullet"/>
        <w:spacing w:after="20" w:line="247" w:lineRule="auto"/>
        <w:rPr>
          <w:rFonts w:hint="eastAsia"/>
          <w:color w:val="000000" w:themeColor="text1"/>
        </w:rPr>
      </w:pPr>
      <w:r w:rsidRPr="00835EE7">
        <w:rPr>
          <w:rFonts w:cs="Liberation Serif"/>
          <w:color w:val="000000" w:themeColor="text1"/>
          <w:sz w:val="20"/>
        </w:rPr>
        <w:t>Build one AI + HI studio around a live problem so people can practise judgment, not just discuss it.</w:t>
      </w:r>
    </w:p>
    <w:p w14:paraId="4A6FC812" w14:textId="77777777" w:rsidR="008C39FD" w:rsidRPr="00835EE7" w:rsidRDefault="00000000">
      <w:pPr>
        <w:spacing w:before="100" w:after="40" w:line="240" w:lineRule="auto"/>
        <w:rPr>
          <w:rFonts w:hint="eastAsia"/>
          <w:color w:val="000000" w:themeColor="text1"/>
        </w:rPr>
      </w:pPr>
      <w:r w:rsidRPr="00835EE7">
        <w:rPr>
          <w:rFonts w:ascii="Liberation Sans" w:hAnsi="Liberation Sans" w:cs="Liberation Sans"/>
          <w:b/>
          <w:color w:val="000000" w:themeColor="text1"/>
        </w:rPr>
        <w:t>Questions to take into the month</w:t>
      </w:r>
    </w:p>
    <w:p w14:paraId="3D5B25FE" w14:textId="77777777" w:rsidR="008C39FD" w:rsidRPr="00835EE7" w:rsidRDefault="00000000">
      <w:pPr>
        <w:pStyle w:val="ListBullet"/>
        <w:spacing w:after="20" w:line="245" w:lineRule="auto"/>
        <w:rPr>
          <w:rFonts w:hint="eastAsia"/>
          <w:color w:val="000000" w:themeColor="text1"/>
        </w:rPr>
      </w:pPr>
      <w:r w:rsidRPr="00835EE7">
        <w:rPr>
          <w:rFonts w:cs="Liberation Serif"/>
          <w:color w:val="000000" w:themeColor="text1"/>
          <w:sz w:val="20"/>
        </w:rPr>
        <w:t>Where does context change what good judgement looks like in our setting?</w:t>
      </w:r>
    </w:p>
    <w:p w14:paraId="6CCD57BD" w14:textId="77777777" w:rsidR="008C39FD" w:rsidRPr="00835EE7" w:rsidRDefault="00000000">
      <w:pPr>
        <w:pStyle w:val="ListBullet"/>
        <w:spacing w:after="20" w:line="245" w:lineRule="auto"/>
        <w:rPr>
          <w:rFonts w:hint="eastAsia"/>
          <w:color w:val="000000" w:themeColor="text1"/>
        </w:rPr>
      </w:pPr>
      <w:r w:rsidRPr="00835EE7">
        <w:rPr>
          <w:rFonts w:cs="Liberation Serif"/>
          <w:color w:val="000000" w:themeColor="text1"/>
          <w:sz w:val="20"/>
        </w:rPr>
        <w:t>Which forms of human work should become more visible, not less, as AI scales?</w:t>
      </w:r>
    </w:p>
    <w:p w14:paraId="1CABDF07" w14:textId="77777777" w:rsidR="008C39FD" w:rsidRPr="00835EE7" w:rsidRDefault="00000000">
      <w:pPr>
        <w:pStyle w:val="ListBullet"/>
        <w:spacing w:after="20" w:line="245" w:lineRule="auto"/>
        <w:rPr>
          <w:rFonts w:hint="eastAsia"/>
          <w:color w:val="000000" w:themeColor="text1"/>
        </w:rPr>
      </w:pPr>
      <w:r w:rsidRPr="00835EE7">
        <w:rPr>
          <w:rFonts w:cs="Liberation Serif"/>
          <w:color w:val="000000" w:themeColor="text1"/>
          <w:sz w:val="20"/>
        </w:rPr>
        <w:t>What 90-day experiment would make HI more discussable and more trainable here?</w:t>
      </w:r>
    </w:p>
    <w:p w14:paraId="0897E2A4" w14:textId="77777777" w:rsidR="008C39FD" w:rsidRPr="00835EE7" w:rsidRDefault="00000000">
      <w:pPr>
        <w:pStyle w:val="ListBullet"/>
        <w:spacing w:after="20" w:line="245" w:lineRule="auto"/>
        <w:rPr>
          <w:rFonts w:hint="eastAsia"/>
          <w:color w:val="000000" w:themeColor="text1"/>
        </w:rPr>
      </w:pPr>
      <w:r w:rsidRPr="00835EE7">
        <w:rPr>
          <w:rFonts w:cs="Liberation Serif"/>
          <w:color w:val="000000" w:themeColor="text1"/>
          <w:sz w:val="20"/>
        </w:rPr>
        <w:t>Are we investing in usage faster than we are investing in transition architecture?</w:t>
      </w:r>
    </w:p>
    <w:p w14:paraId="45DE71EA" w14:textId="77777777" w:rsidR="008C39FD" w:rsidRPr="00835EE7" w:rsidRDefault="008C39FD">
      <w:pPr>
        <w:pBdr>
          <w:bottom w:val="single" w:sz="6" w:space="1" w:color="B5C2D6"/>
        </w:pBdr>
        <w:spacing w:before="80" w:after="40" w:line="240" w:lineRule="auto"/>
        <w:rPr>
          <w:rFonts w:hint="eastAsia"/>
          <w:color w:val="000000" w:themeColor="text1"/>
        </w:rPr>
      </w:pPr>
    </w:p>
    <w:p w14:paraId="01C4EAAA" w14:textId="0E686708" w:rsidR="008C39FD" w:rsidRPr="00835EE7" w:rsidRDefault="00000000">
      <w:pPr>
        <w:spacing w:before="60" w:after="0" w:line="252" w:lineRule="auto"/>
        <w:jc w:val="both"/>
        <w:rPr>
          <w:rFonts w:cs="Liberation Serif"/>
          <w:i/>
          <w:color w:val="000000" w:themeColor="text1"/>
        </w:rPr>
      </w:pPr>
      <w:r w:rsidRPr="00835EE7">
        <w:rPr>
          <w:rFonts w:cs="Liberation Serif"/>
          <w:i/>
          <w:color w:val="000000" w:themeColor="text1"/>
        </w:rPr>
        <w:t xml:space="preserve">This month's </w:t>
      </w:r>
      <w:r w:rsidR="00355552" w:rsidRPr="00835EE7">
        <w:rPr>
          <w:rFonts w:cs="Liberation Serif"/>
          <w:i/>
          <w:color w:val="000000" w:themeColor="text1"/>
        </w:rPr>
        <w:t>Thought</w:t>
      </w:r>
      <w:r w:rsidRPr="00835EE7">
        <w:rPr>
          <w:rFonts w:cs="Liberation Serif"/>
          <w:i/>
          <w:color w:val="000000" w:themeColor="text1"/>
        </w:rPr>
        <w:t>: build humans, not just usage. Build the judgement, transition support and context-reading capacity that make AI safe, legitimate and genuinely useful.</w:t>
      </w:r>
    </w:p>
    <w:p w14:paraId="58E4FEE9" w14:textId="77777777" w:rsidR="00835EE7" w:rsidRPr="00835EE7" w:rsidRDefault="00835EE7">
      <w:pPr>
        <w:spacing w:before="60" w:after="0" w:line="252" w:lineRule="auto"/>
        <w:jc w:val="both"/>
        <w:rPr>
          <w:rFonts w:cs="Liberation Serif"/>
          <w:i/>
          <w:color w:val="000000" w:themeColor="text1"/>
        </w:rPr>
      </w:pPr>
    </w:p>
    <w:p w14:paraId="72C8A75A" w14:textId="77777777" w:rsidR="00835EE7" w:rsidRDefault="00835EE7">
      <w:pPr>
        <w:spacing w:before="60" w:after="0" w:line="252" w:lineRule="auto"/>
        <w:jc w:val="both"/>
        <w:rPr>
          <w:rFonts w:hint="eastAsia"/>
        </w:rPr>
      </w:pPr>
    </w:p>
    <w:sectPr w:rsidR="00835EE7" w:rsidSect="00034616">
      <w:type w:val="continuous"/>
      <w:pgSz w:w="11906" w:h="16838"/>
      <w:pgMar w:top="794" w:right="822" w:bottom="794" w:left="822" w:header="454" w:footer="454" w:gutter="0"/>
      <w:cols w:num="2" w:space="5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DE7A" w14:textId="77777777" w:rsidR="00E04A4A" w:rsidRDefault="00E04A4A">
      <w:pPr>
        <w:spacing w:after="0" w:line="240" w:lineRule="auto"/>
        <w:rPr>
          <w:rFonts w:hint="eastAsia"/>
        </w:rPr>
      </w:pPr>
      <w:r>
        <w:separator/>
      </w:r>
    </w:p>
  </w:endnote>
  <w:endnote w:type="continuationSeparator" w:id="0">
    <w:p w14:paraId="349FC1EA" w14:textId="77777777" w:rsidR="00E04A4A" w:rsidRDefault="00E04A4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iberation Sans">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1F37" w14:textId="77777777" w:rsidR="008C39FD" w:rsidRDefault="00000000">
    <w:pPr>
      <w:pStyle w:val="Footer"/>
      <w:rPr>
        <w:rFonts w:hint="eastAsia"/>
      </w:rPr>
    </w:pPr>
    <w:r>
      <w:rPr>
        <w:rFonts w:ascii="Liberation Sans" w:hAnsi="Liberation Sans" w:cs="Liberation Sans"/>
        <w:color w:val="5A5A5A"/>
        <w:sz w:val="16"/>
      </w:rPr>
      <w:t>Human Intelligence Newsletter</w:t>
    </w:r>
    <w:r>
      <w:tab/>
    </w:r>
    <w:r>
      <w:rPr>
        <w:rFonts w:ascii="Liberation Sans" w:hAnsi="Liberation Sans" w:cs="Liberation Sans"/>
        <w:color w:val="5A5A5A"/>
        <w:sz w:val="16"/>
      </w:rPr>
      <w:t xml:space="preserve">Page </w:t>
    </w:r>
    <w:r>
      <w:fldChar w:fldCharType="begin"/>
    </w:r>
    <w:r>
      <w:instrText xml:space="preserve"> PAGE </w:instrText>
    </w:r>
    <w:r>
      <w:fldChar w:fldCharType="separate"/>
    </w:r>
    <w:r w:rsidR="008E02C4">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6B8CC" w14:textId="77777777" w:rsidR="00E04A4A" w:rsidRDefault="00E04A4A">
      <w:pPr>
        <w:spacing w:after="0" w:line="240" w:lineRule="auto"/>
        <w:rPr>
          <w:rFonts w:hint="eastAsia"/>
        </w:rPr>
      </w:pPr>
      <w:r>
        <w:separator/>
      </w:r>
    </w:p>
  </w:footnote>
  <w:footnote w:type="continuationSeparator" w:id="0">
    <w:p w14:paraId="0A8259FE" w14:textId="77777777" w:rsidR="00E04A4A" w:rsidRDefault="00E04A4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A4A9636"/>
    <w:lvl w:ilvl="0">
      <w:start w:val="1"/>
      <w:numFmt w:val="bullet"/>
      <w:pStyle w:val="ListBullet"/>
      <w:lvlText w:val=""/>
      <w:lvlJc w:val="left"/>
      <w:pPr>
        <w:tabs>
          <w:tab w:val="num" w:pos="360"/>
        </w:tabs>
        <w:ind w:left="360" w:hanging="360"/>
      </w:pPr>
      <w:rPr>
        <w:rFonts w:ascii="Symbol" w:hAnsi="Symbol" w:hint="default"/>
      </w:rPr>
    </w:lvl>
  </w:abstractNum>
  <w:num w:numId="1" w16cid:durableId="1585724060">
    <w:abstractNumId w:val="8"/>
  </w:num>
  <w:num w:numId="2" w16cid:durableId="1876844786">
    <w:abstractNumId w:val="6"/>
  </w:num>
  <w:num w:numId="3" w16cid:durableId="219638990">
    <w:abstractNumId w:val="5"/>
  </w:num>
  <w:num w:numId="4" w16cid:durableId="298918572">
    <w:abstractNumId w:val="4"/>
  </w:num>
  <w:num w:numId="5" w16cid:durableId="1934388262">
    <w:abstractNumId w:val="7"/>
  </w:num>
  <w:num w:numId="6" w16cid:durableId="64693420">
    <w:abstractNumId w:val="3"/>
  </w:num>
  <w:num w:numId="7" w16cid:durableId="2014725363">
    <w:abstractNumId w:val="2"/>
  </w:num>
  <w:num w:numId="8" w16cid:durableId="883635615">
    <w:abstractNumId w:val="1"/>
  </w:num>
  <w:num w:numId="9" w16cid:durableId="125511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C4A"/>
    <w:rsid w:val="001101B2"/>
    <w:rsid w:val="0015074B"/>
    <w:rsid w:val="001912B7"/>
    <w:rsid w:val="001D1011"/>
    <w:rsid w:val="00231566"/>
    <w:rsid w:val="0029639D"/>
    <w:rsid w:val="00326F90"/>
    <w:rsid w:val="00355552"/>
    <w:rsid w:val="00372B9E"/>
    <w:rsid w:val="006D4656"/>
    <w:rsid w:val="00835EE7"/>
    <w:rsid w:val="008A4947"/>
    <w:rsid w:val="008C39FD"/>
    <w:rsid w:val="008E02C4"/>
    <w:rsid w:val="00AA1D8D"/>
    <w:rsid w:val="00B47730"/>
    <w:rsid w:val="00CB0664"/>
    <w:rsid w:val="00E04A4A"/>
    <w:rsid w:val="00E117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9E43E1"/>
  <w14:defaultImageDpi w14:val="300"/>
  <w15:docId w15:val="{46DE7022-C067-1E4D-BC54-89CC0360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Liberation Serif" w:hAnsi="Liberation Seri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1044</Words>
  <Characters>6275</Characters>
  <Application>Microsoft Office Word</Application>
  <DocSecurity>0</DocSecurity>
  <Lines>209</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Matthew Byrne</cp:lastModifiedBy>
  <cp:revision>5</cp:revision>
  <dcterms:created xsi:type="dcterms:W3CDTF">2013-12-23T23:15:00Z</dcterms:created>
  <dcterms:modified xsi:type="dcterms:W3CDTF">2026-03-26T22:21:00Z</dcterms:modified>
  <cp:category/>
</cp:coreProperties>
</file>